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600" w:type="pct"/>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1853"/>
        <w:gridCol w:w="6758"/>
      </w:tblGrid>
      <w:tr w:rsidR="00962DBB" w:rsidRPr="00962DBB" w:rsidTr="00962DBB">
        <w:trPr>
          <w:tblCellSpacing w:w="0" w:type="dxa"/>
          <w:jc w:val="center"/>
        </w:trPr>
        <w:tc>
          <w:tcPr>
            <w:tcW w:w="0" w:type="auto"/>
            <w:shd w:val="clear" w:color="auto" w:fill="FFFFFF"/>
            <w:hideMark/>
          </w:tcPr>
          <w:p w:rsidR="00962DBB" w:rsidRPr="00962DBB" w:rsidRDefault="00962DBB" w:rsidP="00962DBB">
            <w:pPr>
              <w:spacing w:after="0" w:line="240" w:lineRule="auto"/>
              <w:rPr>
                <w:rFonts w:ascii="Arial" w:eastAsia="Times New Roman" w:hAnsi="Arial" w:cs="Arial"/>
                <w:color w:val="454545"/>
                <w:sz w:val="17"/>
                <w:szCs w:val="17"/>
              </w:rPr>
            </w:pPr>
            <w:bookmarkStart w:id="0" w:name="_GoBack"/>
            <w:bookmarkEnd w:id="0"/>
            <w:r w:rsidRPr="00962DBB">
              <w:rPr>
                <w:rFonts w:ascii="Arial" w:eastAsia="Times New Roman" w:hAnsi="Arial" w:cs="Arial"/>
                <w:b/>
                <w:bCs/>
                <w:color w:val="000000"/>
                <w:sz w:val="13"/>
                <w:szCs w:val="13"/>
              </w:rPr>
              <w:t>Posted Position Title</w:t>
            </w:r>
          </w:p>
        </w:tc>
        <w:tc>
          <w:tcPr>
            <w:tcW w:w="4000" w:type="pct"/>
            <w:shd w:val="clear" w:color="auto" w:fill="FFFFFF"/>
            <w:vAlign w:val="center"/>
            <w:hideMark/>
          </w:tcPr>
          <w:p w:rsidR="00962DBB" w:rsidRPr="00962DBB" w:rsidRDefault="00962DBB" w:rsidP="00962DBB">
            <w:pPr>
              <w:spacing w:after="0" w:line="240" w:lineRule="auto"/>
              <w:rPr>
                <w:rFonts w:ascii="Arial" w:eastAsia="Times New Roman" w:hAnsi="Arial" w:cs="Arial"/>
                <w:color w:val="454545"/>
                <w:sz w:val="17"/>
                <w:szCs w:val="17"/>
              </w:rPr>
            </w:pPr>
            <w:r w:rsidRPr="00962DBB">
              <w:rPr>
                <w:rFonts w:ascii="Arial" w:eastAsia="Times New Roman" w:hAnsi="Arial" w:cs="Arial"/>
                <w:color w:val="454545"/>
                <w:sz w:val="17"/>
                <w:szCs w:val="17"/>
              </w:rPr>
              <w:t>Accountant- R2R – BHGE Support</w:t>
            </w:r>
          </w:p>
        </w:tc>
      </w:tr>
      <w:tr w:rsidR="00962DBB" w:rsidRPr="00962DBB" w:rsidTr="00962DBB">
        <w:trPr>
          <w:tblCellSpacing w:w="0" w:type="dxa"/>
          <w:jc w:val="center"/>
        </w:trPr>
        <w:tc>
          <w:tcPr>
            <w:tcW w:w="0" w:type="auto"/>
            <w:shd w:val="clear" w:color="auto" w:fill="FFFFFF"/>
            <w:hideMark/>
          </w:tcPr>
          <w:p w:rsidR="00962DBB" w:rsidRPr="00962DBB" w:rsidRDefault="00962DBB" w:rsidP="00962DBB">
            <w:pPr>
              <w:spacing w:after="0" w:line="240" w:lineRule="auto"/>
              <w:rPr>
                <w:rFonts w:ascii="Arial" w:eastAsia="Times New Roman" w:hAnsi="Arial" w:cs="Arial"/>
                <w:color w:val="454545"/>
                <w:sz w:val="17"/>
                <w:szCs w:val="17"/>
              </w:rPr>
            </w:pPr>
            <w:r w:rsidRPr="00962DBB">
              <w:rPr>
                <w:rFonts w:ascii="Arial" w:eastAsia="Times New Roman" w:hAnsi="Arial" w:cs="Arial"/>
                <w:b/>
                <w:bCs/>
                <w:color w:val="000000"/>
                <w:sz w:val="13"/>
                <w:szCs w:val="13"/>
              </w:rPr>
              <w:t>Business</w:t>
            </w:r>
          </w:p>
        </w:tc>
        <w:tc>
          <w:tcPr>
            <w:tcW w:w="4000" w:type="pct"/>
            <w:shd w:val="clear" w:color="auto" w:fill="FFFFFF"/>
            <w:vAlign w:val="center"/>
            <w:hideMark/>
          </w:tcPr>
          <w:p w:rsidR="00962DBB" w:rsidRPr="00962DBB" w:rsidRDefault="00962DBB" w:rsidP="00962DBB">
            <w:pPr>
              <w:spacing w:after="0" w:line="240" w:lineRule="auto"/>
              <w:rPr>
                <w:rFonts w:ascii="Arial" w:eastAsia="Times New Roman" w:hAnsi="Arial" w:cs="Arial"/>
                <w:color w:val="454545"/>
                <w:sz w:val="17"/>
                <w:szCs w:val="17"/>
              </w:rPr>
            </w:pPr>
            <w:r w:rsidRPr="00962DBB">
              <w:rPr>
                <w:rFonts w:ascii="Arial" w:eastAsia="Times New Roman" w:hAnsi="Arial" w:cs="Arial"/>
                <w:color w:val="454545"/>
                <w:sz w:val="17"/>
                <w:szCs w:val="17"/>
              </w:rPr>
              <w:t>GE Global Operations</w:t>
            </w:r>
          </w:p>
        </w:tc>
      </w:tr>
      <w:tr w:rsidR="00962DBB" w:rsidRPr="00962DBB" w:rsidTr="00962DBB">
        <w:trPr>
          <w:tblCellSpacing w:w="0" w:type="dxa"/>
          <w:jc w:val="center"/>
        </w:trPr>
        <w:tc>
          <w:tcPr>
            <w:tcW w:w="0" w:type="auto"/>
            <w:shd w:val="clear" w:color="auto" w:fill="FFFFFF"/>
            <w:hideMark/>
          </w:tcPr>
          <w:p w:rsidR="00962DBB" w:rsidRPr="00962DBB" w:rsidRDefault="00962DBB" w:rsidP="00962DBB">
            <w:pPr>
              <w:spacing w:after="0" w:line="240" w:lineRule="auto"/>
              <w:rPr>
                <w:rFonts w:ascii="Arial" w:eastAsia="Times New Roman" w:hAnsi="Arial" w:cs="Arial"/>
                <w:color w:val="454545"/>
                <w:sz w:val="17"/>
                <w:szCs w:val="17"/>
              </w:rPr>
            </w:pPr>
            <w:r w:rsidRPr="00962DBB">
              <w:rPr>
                <w:rFonts w:ascii="Arial" w:eastAsia="Times New Roman" w:hAnsi="Arial" w:cs="Arial"/>
                <w:b/>
                <w:bCs/>
                <w:color w:val="000000"/>
                <w:sz w:val="13"/>
                <w:szCs w:val="13"/>
              </w:rPr>
              <w:t>Business Segment</w:t>
            </w:r>
          </w:p>
        </w:tc>
        <w:tc>
          <w:tcPr>
            <w:tcW w:w="4000" w:type="pct"/>
            <w:shd w:val="clear" w:color="auto" w:fill="FFFFFF"/>
            <w:vAlign w:val="center"/>
            <w:hideMark/>
          </w:tcPr>
          <w:p w:rsidR="00962DBB" w:rsidRPr="00962DBB" w:rsidRDefault="00962DBB" w:rsidP="00962DBB">
            <w:pPr>
              <w:spacing w:after="0" w:line="240" w:lineRule="auto"/>
              <w:rPr>
                <w:rFonts w:ascii="Arial" w:eastAsia="Times New Roman" w:hAnsi="Arial" w:cs="Arial"/>
                <w:color w:val="454545"/>
                <w:sz w:val="17"/>
                <w:szCs w:val="17"/>
              </w:rPr>
            </w:pPr>
            <w:r w:rsidRPr="00962DBB">
              <w:rPr>
                <w:rFonts w:ascii="Arial" w:eastAsia="Times New Roman" w:hAnsi="Arial" w:cs="Arial"/>
                <w:color w:val="454545"/>
                <w:sz w:val="17"/>
                <w:szCs w:val="17"/>
              </w:rPr>
              <w:t>Global Operations Controllership</w:t>
            </w:r>
          </w:p>
        </w:tc>
      </w:tr>
      <w:tr w:rsidR="00962DBB" w:rsidRPr="00962DBB" w:rsidTr="00962DBB">
        <w:trPr>
          <w:tblCellSpacing w:w="0" w:type="dxa"/>
          <w:jc w:val="center"/>
        </w:trPr>
        <w:tc>
          <w:tcPr>
            <w:tcW w:w="0" w:type="auto"/>
            <w:shd w:val="clear" w:color="auto" w:fill="FFFFFF"/>
            <w:hideMark/>
          </w:tcPr>
          <w:p w:rsidR="00962DBB" w:rsidRPr="00962DBB" w:rsidRDefault="00962DBB" w:rsidP="00962DBB">
            <w:pPr>
              <w:spacing w:after="0" w:line="240" w:lineRule="auto"/>
              <w:rPr>
                <w:rFonts w:ascii="Arial" w:eastAsia="Times New Roman" w:hAnsi="Arial" w:cs="Arial"/>
                <w:color w:val="454545"/>
                <w:sz w:val="17"/>
                <w:szCs w:val="17"/>
              </w:rPr>
            </w:pPr>
            <w:r w:rsidRPr="00962DBB">
              <w:rPr>
                <w:rFonts w:ascii="Arial" w:eastAsia="Times New Roman" w:hAnsi="Arial" w:cs="Arial"/>
                <w:b/>
                <w:bCs/>
                <w:color w:val="000000"/>
                <w:sz w:val="13"/>
                <w:szCs w:val="13"/>
              </w:rPr>
              <w:t>About Us</w:t>
            </w:r>
          </w:p>
        </w:tc>
        <w:tc>
          <w:tcPr>
            <w:tcW w:w="4000" w:type="pct"/>
            <w:shd w:val="clear" w:color="auto" w:fill="FFFFFF"/>
            <w:vAlign w:val="center"/>
            <w:hideMark/>
          </w:tcPr>
          <w:p w:rsidR="00962DBB" w:rsidRPr="00962DBB" w:rsidRDefault="00962DBB" w:rsidP="00962DBB">
            <w:pPr>
              <w:spacing w:after="0" w:line="240" w:lineRule="auto"/>
              <w:rPr>
                <w:rFonts w:ascii="Arial" w:eastAsia="Times New Roman" w:hAnsi="Arial" w:cs="Arial"/>
                <w:color w:val="454545"/>
                <w:sz w:val="17"/>
                <w:szCs w:val="17"/>
              </w:rPr>
            </w:pPr>
            <w:r w:rsidRPr="00962DBB">
              <w:rPr>
                <w:rFonts w:ascii="Arial" w:eastAsia="Times New Roman" w:hAnsi="Arial" w:cs="Arial"/>
                <w:color w:val="454545"/>
                <w:sz w:val="17"/>
                <w:szCs w:val="17"/>
              </w:rPr>
              <w:t>GE Global Operations is GE's multi-functional shared services organizations focused on delivering better outcomes at lower cost for our businesses and our customers. The strong partnership between Global Operations and GE Businesses creates a collaborative work culture and broadens best practice and industry knowledge sharing across the enabling functions. We believe that by keeping GE customers at the heart of everything we do, we will help GE work smarter, better and faster, allowing GE businesses to be more competitive in the global marketplace. </w:t>
            </w:r>
            <w:r w:rsidRPr="00962DBB">
              <w:rPr>
                <w:rFonts w:ascii="Arial" w:eastAsia="Times New Roman" w:hAnsi="Arial" w:cs="Arial"/>
                <w:color w:val="454545"/>
                <w:sz w:val="17"/>
                <w:szCs w:val="17"/>
              </w:rPr>
              <w:br/>
            </w:r>
            <w:r w:rsidRPr="00962DBB">
              <w:rPr>
                <w:rFonts w:ascii="Arial" w:eastAsia="Times New Roman" w:hAnsi="Arial" w:cs="Arial"/>
                <w:color w:val="454545"/>
                <w:sz w:val="17"/>
                <w:szCs w:val="17"/>
              </w:rPr>
              <w:br/>
              <w:t>We are teams of functional process and domain experts, focused on the solutions that deliver results for the company. We think Big, we act as One, We deliver with Speed … so GE Works</w:t>
            </w:r>
          </w:p>
        </w:tc>
      </w:tr>
      <w:tr w:rsidR="00962DBB" w:rsidRPr="00962DBB" w:rsidTr="00962DBB">
        <w:trPr>
          <w:tblCellSpacing w:w="0" w:type="dxa"/>
          <w:jc w:val="center"/>
        </w:trPr>
        <w:tc>
          <w:tcPr>
            <w:tcW w:w="0" w:type="auto"/>
            <w:shd w:val="clear" w:color="auto" w:fill="FFFFFF"/>
            <w:hideMark/>
          </w:tcPr>
          <w:p w:rsidR="00962DBB" w:rsidRPr="00962DBB" w:rsidRDefault="00962DBB" w:rsidP="00962DBB">
            <w:pPr>
              <w:spacing w:after="0" w:line="240" w:lineRule="auto"/>
              <w:rPr>
                <w:rFonts w:ascii="Arial" w:eastAsia="Times New Roman" w:hAnsi="Arial" w:cs="Arial"/>
                <w:color w:val="454545"/>
                <w:sz w:val="17"/>
                <w:szCs w:val="17"/>
              </w:rPr>
            </w:pPr>
            <w:r w:rsidRPr="00962DBB">
              <w:rPr>
                <w:rFonts w:ascii="Arial" w:eastAsia="Times New Roman" w:hAnsi="Arial" w:cs="Arial"/>
                <w:b/>
                <w:bCs/>
                <w:color w:val="000000"/>
                <w:sz w:val="13"/>
                <w:szCs w:val="13"/>
              </w:rPr>
              <w:t>Corporate Career Band</w:t>
            </w:r>
          </w:p>
        </w:tc>
        <w:tc>
          <w:tcPr>
            <w:tcW w:w="4000" w:type="pct"/>
            <w:shd w:val="clear" w:color="auto" w:fill="FFFFFF"/>
            <w:vAlign w:val="center"/>
            <w:hideMark/>
          </w:tcPr>
          <w:p w:rsidR="00962DBB" w:rsidRPr="00962DBB" w:rsidRDefault="00962DBB" w:rsidP="00962DBB">
            <w:pPr>
              <w:spacing w:after="0" w:line="240" w:lineRule="auto"/>
              <w:rPr>
                <w:rFonts w:ascii="Arial" w:eastAsia="Times New Roman" w:hAnsi="Arial" w:cs="Arial"/>
                <w:color w:val="454545"/>
                <w:sz w:val="17"/>
                <w:szCs w:val="17"/>
              </w:rPr>
            </w:pPr>
            <w:r w:rsidRPr="00962DBB">
              <w:rPr>
                <w:rFonts w:ascii="Arial" w:eastAsia="Times New Roman" w:hAnsi="Arial" w:cs="Arial"/>
                <w:color w:val="454545"/>
                <w:sz w:val="17"/>
                <w:szCs w:val="17"/>
              </w:rPr>
              <w:t>Professional Band</w:t>
            </w:r>
          </w:p>
        </w:tc>
      </w:tr>
      <w:tr w:rsidR="00962DBB" w:rsidRPr="00962DBB" w:rsidTr="00962DBB">
        <w:trPr>
          <w:tblCellSpacing w:w="0" w:type="dxa"/>
          <w:jc w:val="center"/>
        </w:trPr>
        <w:tc>
          <w:tcPr>
            <w:tcW w:w="0" w:type="auto"/>
            <w:shd w:val="clear" w:color="auto" w:fill="FFFFFF"/>
            <w:hideMark/>
          </w:tcPr>
          <w:p w:rsidR="00962DBB" w:rsidRPr="00962DBB" w:rsidRDefault="00962DBB" w:rsidP="00962DBB">
            <w:pPr>
              <w:spacing w:after="0" w:line="240" w:lineRule="auto"/>
              <w:rPr>
                <w:rFonts w:ascii="Arial" w:eastAsia="Times New Roman" w:hAnsi="Arial" w:cs="Arial"/>
                <w:color w:val="454545"/>
                <w:sz w:val="17"/>
                <w:szCs w:val="17"/>
              </w:rPr>
            </w:pPr>
            <w:r w:rsidRPr="00962DBB">
              <w:rPr>
                <w:rFonts w:ascii="Arial" w:eastAsia="Times New Roman" w:hAnsi="Arial" w:cs="Arial"/>
                <w:b/>
                <w:bCs/>
                <w:color w:val="000000"/>
                <w:sz w:val="13"/>
                <w:szCs w:val="13"/>
              </w:rPr>
              <w:t>Career Level</w:t>
            </w:r>
          </w:p>
        </w:tc>
        <w:tc>
          <w:tcPr>
            <w:tcW w:w="4000" w:type="pct"/>
            <w:shd w:val="clear" w:color="auto" w:fill="FFFFFF"/>
            <w:vAlign w:val="center"/>
            <w:hideMark/>
          </w:tcPr>
          <w:p w:rsidR="00962DBB" w:rsidRPr="00962DBB" w:rsidRDefault="00962DBB" w:rsidP="00962DBB">
            <w:pPr>
              <w:spacing w:after="0" w:line="240" w:lineRule="auto"/>
              <w:rPr>
                <w:rFonts w:ascii="Arial" w:eastAsia="Times New Roman" w:hAnsi="Arial" w:cs="Arial"/>
                <w:color w:val="454545"/>
                <w:sz w:val="17"/>
                <w:szCs w:val="17"/>
              </w:rPr>
            </w:pPr>
            <w:r w:rsidRPr="00962DBB">
              <w:rPr>
                <w:rFonts w:ascii="Arial" w:eastAsia="Times New Roman" w:hAnsi="Arial" w:cs="Arial"/>
                <w:color w:val="454545"/>
                <w:sz w:val="17"/>
                <w:szCs w:val="17"/>
              </w:rPr>
              <w:t>Experienced</w:t>
            </w:r>
          </w:p>
        </w:tc>
      </w:tr>
      <w:tr w:rsidR="00962DBB" w:rsidRPr="00962DBB" w:rsidTr="00962DBB">
        <w:trPr>
          <w:tblCellSpacing w:w="0" w:type="dxa"/>
          <w:jc w:val="center"/>
        </w:trPr>
        <w:tc>
          <w:tcPr>
            <w:tcW w:w="0" w:type="auto"/>
            <w:shd w:val="clear" w:color="auto" w:fill="FFFFFF"/>
            <w:hideMark/>
          </w:tcPr>
          <w:p w:rsidR="00962DBB" w:rsidRPr="00962DBB" w:rsidRDefault="00962DBB" w:rsidP="00962DBB">
            <w:pPr>
              <w:spacing w:after="0" w:line="240" w:lineRule="auto"/>
              <w:rPr>
                <w:rFonts w:ascii="Arial" w:eastAsia="Times New Roman" w:hAnsi="Arial" w:cs="Arial"/>
                <w:color w:val="454545"/>
                <w:sz w:val="17"/>
                <w:szCs w:val="17"/>
              </w:rPr>
            </w:pPr>
            <w:r w:rsidRPr="00962DBB">
              <w:rPr>
                <w:rFonts w:ascii="Arial" w:eastAsia="Times New Roman" w:hAnsi="Arial" w:cs="Arial"/>
                <w:b/>
                <w:bCs/>
                <w:color w:val="000000"/>
                <w:sz w:val="13"/>
                <w:szCs w:val="13"/>
              </w:rPr>
              <w:t>Function</w:t>
            </w:r>
          </w:p>
        </w:tc>
        <w:tc>
          <w:tcPr>
            <w:tcW w:w="4000" w:type="pct"/>
            <w:shd w:val="clear" w:color="auto" w:fill="FFFFFF"/>
            <w:vAlign w:val="center"/>
            <w:hideMark/>
          </w:tcPr>
          <w:p w:rsidR="00962DBB" w:rsidRPr="00962DBB" w:rsidRDefault="00962DBB" w:rsidP="00962DBB">
            <w:pPr>
              <w:spacing w:after="0" w:line="240" w:lineRule="auto"/>
              <w:rPr>
                <w:rFonts w:ascii="Arial" w:eastAsia="Times New Roman" w:hAnsi="Arial" w:cs="Arial"/>
                <w:color w:val="454545"/>
                <w:sz w:val="17"/>
                <w:szCs w:val="17"/>
              </w:rPr>
            </w:pPr>
            <w:r w:rsidRPr="00962DBB">
              <w:rPr>
                <w:rFonts w:ascii="Arial" w:eastAsia="Times New Roman" w:hAnsi="Arial" w:cs="Arial"/>
                <w:color w:val="454545"/>
                <w:sz w:val="17"/>
                <w:szCs w:val="17"/>
              </w:rPr>
              <w:t>Finance</w:t>
            </w:r>
          </w:p>
        </w:tc>
      </w:tr>
      <w:tr w:rsidR="00962DBB" w:rsidRPr="00962DBB" w:rsidTr="00962DBB">
        <w:trPr>
          <w:tblCellSpacing w:w="0" w:type="dxa"/>
          <w:jc w:val="center"/>
        </w:trPr>
        <w:tc>
          <w:tcPr>
            <w:tcW w:w="0" w:type="auto"/>
            <w:shd w:val="clear" w:color="auto" w:fill="FFFFFF"/>
            <w:hideMark/>
          </w:tcPr>
          <w:p w:rsidR="00962DBB" w:rsidRPr="00962DBB" w:rsidRDefault="00962DBB" w:rsidP="00962DBB">
            <w:pPr>
              <w:spacing w:after="0" w:line="240" w:lineRule="auto"/>
              <w:rPr>
                <w:rFonts w:ascii="Arial" w:eastAsia="Times New Roman" w:hAnsi="Arial" w:cs="Arial"/>
                <w:color w:val="454545"/>
                <w:sz w:val="17"/>
                <w:szCs w:val="17"/>
              </w:rPr>
            </w:pPr>
            <w:r w:rsidRPr="00962DBB">
              <w:rPr>
                <w:rFonts w:ascii="Arial" w:eastAsia="Times New Roman" w:hAnsi="Arial" w:cs="Arial"/>
                <w:b/>
                <w:bCs/>
                <w:color w:val="000000"/>
                <w:sz w:val="13"/>
                <w:szCs w:val="13"/>
              </w:rPr>
              <w:t>Function Segment</w:t>
            </w:r>
          </w:p>
        </w:tc>
        <w:tc>
          <w:tcPr>
            <w:tcW w:w="4000" w:type="pct"/>
            <w:shd w:val="clear" w:color="auto" w:fill="FFFFFF"/>
            <w:vAlign w:val="center"/>
            <w:hideMark/>
          </w:tcPr>
          <w:p w:rsidR="00962DBB" w:rsidRPr="00962DBB" w:rsidRDefault="00962DBB" w:rsidP="00962DBB">
            <w:pPr>
              <w:spacing w:after="0" w:line="240" w:lineRule="auto"/>
              <w:rPr>
                <w:rFonts w:ascii="Arial" w:eastAsia="Times New Roman" w:hAnsi="Arial" w:cs="Arial"/>
                <w:color w:val="454545"/>
                <w:sz w:val="17"/>
                <w:szCs w:val="17"/>
              </w:rPr>
            </w:pPr>
            <w:r w:rsidRPr="00962DBB">
              <w:rPr>
                <w:rFonts w:ascii="Arial" w:eastAsia="Times New Roman" w:hAnsi="Arial" w:cs="Arial"/>
                <w:color w:val="454545"/>
                <w:sz w:val="17"/>
                <w:szCs w:val="17"/>
              </w:rPr>
              <w:t>Controllership</w:t>
            </w:r>
          </w:p>
        </w:tc>
      </w:tr>
      <w:tr w:rsidR="00962DBB" w:rsidRPr="00962DBB" w:rsidTr="00962DBB">
        <w:trPr>
          <w:tblCellSpacing w:w="0" w:type="dxa"/>
          <w:jc w:val="center"/>
        </w:trPr>
        <w:tc>
          <w:tcPr>
            <w:tcW w:w="0" w:type="auto"/>
            <w:shd w:val="clear" w:color="auto" w:fill="FFFFFF"/>
            <w:hideMark/>
          </w:tcPr>
          <w:p w:rsidR="00962DBB" w:rsidRPr="00962DBB" w:rsidRDefault="00962DBB" w:rsidP="00962DBB">
            <w:pPr>
              <w:spacing w:after="0" w:line="240" w:lineRule="auto"/>
              <w:rPr>
                <w:rFonts w:ascii="Arial" w:eastAsia="Times New Roman" w:hAnsi="Arial" w:cs="Arial"/>
                <w:color w:val="454545"/>
                <w:sz w:val="17"/>
                <w:szCs w:val="17"/>
              </w:rPr>
            </w:pPr>
            <w:r w:rsidRPr="00962DBB">
              <w:rPr>
                <w:rFonts w:ascii="Arial" w:eastAsia="Times New Roman" w:hAnsi="Arial" w:cs="Arial"/>
                <w:b/>
                <w:bCs/>
                <w:color w:val="000000"/>
                <w:sz w:val="13"/>
                <w:szCs w:val="13"/>
              </w:rPr>
              <w:t>Location(s) Where Opening Is Available</w:t>
            </w:r>
          </w:p>
        </w:tc>
        <w:tc>
          <w:tcPr>
            <w:tcW w:w="4000" w:type="pct"/>
            <w:shd w:val="clear" w:color="auto" w:fill="FFFFFF"/>
            <w:vAlign w:val="center"/>
            <w:hideMark/>
          </w:tcPr>
          <w:p w:rsidR="00962DBB" w:rsidRPr="00962DBB" w:rsidRDefault="00962DBB" w:rsidP="00962DBB">
            <w:pPr>
              <w:spacing w:after="0" w:line="240" w:lineRule="auto"/>
              <w:rPr>
                <w:rFonts w:ascii="Arial" w:eastAsia="Times New Roman" w:hAnsi="Arial" w:cs="Arial"/>
                <w:color w:val="454545"/>
                <w:sz w:val="17"/>
                <w:szCs w:val="17"/>
              </w:rPr>
            </w:pPr>
            <w:r w:rsidRPr="00962DBB">
              <w:rPr>
                <w:rFonts w:ascii="Arial" w:eastAsia="Times New Roman" w:hAnsi="Arial" w:cs="Arial"/>
                <w:color w:val="454545"/>
                <w:sz w:val="17"/>
                <w:szCs w:val="17"/>
              </w:rPr>
              <w:t>Hungary</w:t>
            </w:r>
          </w:p>
        </w:tc>
      </w:tr>
      <w:tr w:rsidR="00962DBB" w:rsidRPr="00962DBB" w:rsidTr="00962DBB">
        <w:trPr>
          <w:tblCellSpacing w:w="0" w:type="dxa"/>
          <w:jc w:val="center"/>
        </w:trPr>
        <w:tc>
          <w:tcPr>
            <w:tcW w:w="0" w:type="auto"/>
            <w:shd w:val="clear" w:color="auto" w:fill="FFFFFF"/>
            <w:hideMark/>
          </w:tcPr>
          <w:p w:rsidR="00962DBB" w:rsidRPr="00962DBB" w:rsidRDefault="00962DBB" w:rsidP="00962DBB">
            <w:pPr>
              <w:spacing w:after="0" w:line="240" w:lineRule="auto"/>
              <w:rPr>
                <w:rFonts w:ascii="Arial" w:eastAsia="Times New Roman" w:hAnsi="Arial" w:cs="Arial"/>
                <w:color w:val="454545"/>
                <w:sz w:val="17"/>
                <w:szCs w:val="17"/>
              </w:rPr>
            </w:pPr>
            <w:r w:rsidRPr="00962DBB">
              <w:rPr>
                <w:rFonts w:ascii="Arial" w:eastAsia="Times New Roman" w:hAnsi="Arial" w:cs="Arial"/>
                <w:b/>
                <w:bCs/>
                <w:color w:val="000000"/>
                <w:sz w:val="13"/>
                <w:szCs w:val="13"/>
              </w:rPr>
              <w:t>City</w:t>
            </w:r>
          </w:p>
        </w:tc>
        <w:tc>
          <w:tcPr>
            <w:tcW w:w="4000" w:type="pct"/>
            <w:shd w:val="clear" w:color="auto" w:fill="FFFFFF"/>
            <w:vAlign w:val="center"/>
            <w:hideMark/>
          </w:tcPr>
          <w:p w:rsidR="00962DBB" w:rsidRPr="00962DBB" w:rsidRDefault="00962DBB" w:rsidP="00962DBB">
            <w:pPr>
              <w:spacing w:after="0" w:line="240" w:lineRule="auto"/>
              <w:rPr>
                <w:rFonts w:ascii="Arial" w:eastAsia="Times New Roman" w:hAnsi="Arial" w:cs="Arial"/>
                <w:color w:val="454545"/>
                <w:sz w:val="17"/>
                <w:szCs w:val="17"/>
              </w:rPr>
            </w:pPr>
            <w:r w:rsidRPr="00962DBB">
              <w:rPr>
                <w:rFonts w:ascii="Arial" w:eastAsia="Times New Roman" w:hAnsi="Arial" w:cs="Arial"/>
                <w:color w:val="454545"/>
                <w:sz w:val="17"/>
                <w:szCs w:val="17"/>
              </w:rPr>
              <w:t>Budapest</w:t>
            </w:r>
          </w:p>
        </w:tc>
      </w:tr>
      <w:tr w:rsidR="00962DBB" w:rsidRPr="00962DBB" w:rsidTr="00962DBB">
        <w:trPr>
          <w:tblCellSpacing w:w="0" w:type="dxa"/>
          <w:jc w:val="center"/>
        </w:trPr>
        <w:tc>
          <w:tcPr>
            <w:tcW w:w="0" w:type="auto"/>
            <w:shd w:val="clear" w:color="auto" w:fill="FFFFFF"/>
            <w:hideMark/>
          </w:tcPr>
          <w:p w:rsidR="00962DBB" w:rsidRPr="00962DBB" w:rsidRDefault="00962DBB" w:rsidP="00962DBB">
            <w:pPr>
              <w:spacing w:after="0" w:line="240" w:lineRule="auto"/>
              <w:rPr>
                <w:rFonts w:ascii="Arial" w:eastAsia="Times New Roman" w:hAnsi="Arial" w:cs="Arial"/>
                <w:color w:val="454545"/>
                <w:sz w:val="17"/>
                <w:szCs w:val="17"/>
              </w:rPr>
            </w:pPr>
            <w:r w:rsidRPr="00962DBB">
              <w:rPr>
                <w:rFonts w:ascii="Arial" w:eastAsia="Times New Roman" w:hAnsi="Arial" w:cs="Arial"/>
                <w:b/>
                <w:bCs/>
                <w:color w:val="000000"/>
                <w:sz w:val="13"/>
                <w:szCs w:val="13"/>
              </w:rPr>
              <w:t>Postal Code</w:t>
            </w:r>
          </w:p>
        </w:tc>
        <w:tc>
          <w:tcPr>
            <w:tcW w:w="4000" w:type="pct"/>
            <w:shd w:val="clear" w:color="auto" w:fill="FFFFFF"/>
            <w:vAlign w:val="center"/>
            <w:hideMark/>
          </w:tcPr>
          <w:p w:rsidR="00962DBB" w:rsidRPr="00962DBB" w:rsidRDefault="00962DBB" w:rsidP="00962DBB">
            <w:pPr>
              <w:spacing w:after="0" w:line="240" w:lineRule="auto"/>
              <w:rPr>
                <w:rFonts w:ascii="Arial" w:eastAsia="Times New Roman" w:hAnsi="Arial" w:cs="Arial"/>
                <w:color w:val="454545"/>
                <w:sz w:val="17"/>
                <w:szCs w:val="17"/>
              </w:rPr>
            </w:pPr>
            <w:r w:rsidRPr="00962DBB">
              <w:rPr>
                <w:rFonts w:ascii="Arial" w:eastAsia="Times New Roman" w:hAnsi="Arial" w:cs="Arial"/>
                <w:color w:val="454545"/>
                <w:sz w:val="17"/>
                <w:szCs w:val="17"/>
              </w:rPr>
              <w:t>1138</w:t>
            </w:r>
          </w:p>
        </w:tc>
      </w:tr>
      <w:tr w:rsidR="00962DBB" w:rsidRPr="00962DBB" w:rsidTr="00962DBB">
        <w:trPr>
          <w:tblCellSpacing w:w="0" w:type="dxa"/>
          <w:jc w:val="center"/>
        </w:trPr>
        <w:tc>
          <w:tcPr>
            <w:tcW w:w="0" w:type="auto"/>
            <w:shd w:val="clear" w:color="auto" w:fill="FFFFFF"/>
            <w:hideMark/>
          </w:tcPr>
          <w:p w:rsidR="00962DBB" w:rsidRPr="00962DBB" w:rsidRDefault="00962DBB" w:rsidP="00962DBB">
            <w:pPr>
              <w:spacing w:after="0" w:line="240" w:lineRule="auto"/>
              <w:rPr>
                <w:rFonts w:ascii="Arial" w:eastAsia="Times New Roman" w:hAnsi="Arial" w:cs="Arial"/>
                <w:color w:val="454545"/>
                <w:sz w:val="17"/>
                <w:szCs w:val="17"/>
              </w:rPr>
            </w:pPr>
            <w:r w:rsidRPr="00962DBB">
              <w:rPr>
                <w:rFonts w:ascii="Arial" w:eastAsia="Times New Roman" w:hAnsi="Arial" w:cs="Arial"/>
                <w:b/>
                <w:bCs/>
                <w:color w:val="000000"/>
                <w:sz w:val="13"/>
                <w:szCs w:val="13"/>
              </w:rPr>
              <w:t>Relocation Assistance</w:t>
            </w:r>
          </w:p>
        </w:tc>
        <w:tc>
          <w:tcPr>
            <w:tcW w:w="4000" w:type="pct"/>
            <w:shd w:val="clear" w:color="auto" w:fill="FFFFFF"/>
            <w:vAlign w:val="center"/>
            <w:hideMark/>
          </w:tcPr>
          <w:p w:rsidR="00962DBB" w:rsidRPr="00962DBB" w:rsidRDefault="00962DBB" w:rsidP="00962DBB">
            <w:pPr>
              <w:spacing w:after="0" w:line="240" w:lineRule="auto"/>
              <w:rPr>
                <w:rFonts w:ascii="Arial" w:eastAsia="Times New Roman" w:hAnsi="Arial" w:cs="Arial"/>
                <w:color w:val="454545"/>
                <w:sz w:val="17"/>
                <w:szCs w:val="17"/>
              </w:rPr>
            </w:pPr>
            <w:r w:rsidRPr="00962DBB">
              <w:rPr>
                <w:rFonts w:ascii="Arial" w:eastAsia="Times New Roman" w:hAnsi="Arial" w:cs="Arial"/>
                <w:color w:val="454545"/>
                <w:sz w:val="17"/>
                <w:szCs w:val="17"/>
              </w:rPr>
              <w:t>No</w:t>
            </w:r>
          </w:p>
        </w:tc>
      </w:tr>
      <w:tr w:rsidR="00962DBB" w:rsidRPr="00962DBB" w:rsidTr="00962DBB">
        <w:trPr>
          <w:tblCellSpacing w:w="0" w:type="dxa"/>
          <w:jc w:val="center"/>
        </w:trPr>
        <w:tc>
          <w:tcPr>
            <w:tcW w:w="0" w:type="auto"/>
            <w:shd w:val="clear" w:color="auto" w:fill="FFFFFF"/>
            <w:hideMark/>
          </w:tcPr>
          <w:p w:rsidR="00962DBB" w:rsidRPr="00962DBB" w:rsidRDefault="00962DBB" w:rsidP="00962DBB">
            <w:pPr>
              <w:spacing w:after="0" w:line="240" w:lineRule="auto"/>
              <w:rPr>
                <w:rFonts w:ascii="Arial" w:eastAsia="Times New Roman" w:hAnsi="Arial" w:cs="Arial"/>
                <w:color w:val="454545"/>
                <w:sz w:val="17"/>
                <w:szCs w:val="17"/>
              </w:rPr>
            </w:pPr>
            <w:r w:rsidRPr="00962DBB">
              <w:rPr>
                <w:rFonts w:ascii="Arial" w:eastAsia="Times New Roman" w:hAnsi="Arial" w:cs="Arial"/>
                <w:b/>
                <w:bCs/>
                <w:color w:val="000000"/>
                <w:sz w:val="13"/>
                <w:szCs w:val="13"/>
              </w:rPr>
              <w:t>Role Summary/Purpose</w:t>
            </w:r>
          </w:p>
        </w:tc>
        <w:tc>
          <w:tcPr>
            <w:tcW w:w="4000" w:type="pct"/>
            <w:shd w:val="clear" w:color="auto" w:fill="FFFFFF"/>
            <w:vAlign w:val="center"/>
            <w:hideMark/>
          </w:tcPr>
          <w:p w:rsidR="00962DBB" w:rsidRPr="00962DBB" w:rsidRDefault="00962DBB" w:rsidP="00962DBB">
            <w:pPr>
              <w:spacing w:after="0" w:line="240" w:lineRule="auto"/>
              <w:rPr>
                <w:rFonts w:ascii="Arial" w:eastAsia="Times New Roman" w:hAnsi="Arial" w:cs="Arial"/>
                <w:color w:val="454545"/>
                <w:sz w:val="17"/>
                <w:szCs w:val="17"/>
              </w:rPr>
            </w:pPr>
            <w:r w:rsidRPr="00962DBB">
              <w:rPr>
                <w:rFonts w:ascii="Arial" w:eastAsia="Times New Roman" w:hAnsi="Arial" w:cs="Arial"/>
                <w:color w:val="454545"/>
                <w:sz w:val="17"/>
                <w:szCs w:val="17"/>
              </w:rPr>
              <w:t>The R2R (Record to Report) Global Ops BHGE support team is in charge to provide support mainly related to the closing of the books of BHGE’s affiliates across 120 countries in contact with the local/regional business controllership teams and the teams of the other enterprise standards based in Budapest. Services scope include preparatory and closing activities in areas like Cash &amp; Banking, Closing &amp; Reporting and Intercompany.</w:t>
            </w:r>
          </w:p>
        </w:tc>
      </w:tr>
      <w:tr w:rsidR="00962DBB" w:rsidRPr="00962DBB" w:rsidTr="00962DBB">
        <w:trPr>
          <w:tblCellSpacing w:w="0" w:type="dxa"/>
          <w:jc w:val="center"/>
        </w:trPr>
        <w:tc>
          <w:tcPr>
            <w:tcW w:w="0" w:type="auto"/>
            <w:shd w:val="clear" w:color="auto" w:fill="FFFFFF"/>
            <w:hideMark/>
          </w:tcPr>
          <w:p w:rsidR="00962DBB" w:rsidRPr="00962DBB" w:rsidRDefault="00962DBB" w:rsidP="00962DBB">
            <w:pPr>
              <w:spacing w:after="0" w:line="240" w:lineRule="auto"/>
              <w:rPr>
                <w:rFonts w:ascii="Arial" w:eastAsia="Times New Roman" w:hAnsi="Arial" w:cs="Arial"/>
                <w:color w:val="454545"/>
                <w:sz w:val="17"/>
                <w:szCs w:val="17"/>
              </w:rPr>
            </w:pPr>
            <w:r w:rsidRPr="00962DBB">
              <w:rPr>
                <w:rFonts w:ascii="Arial" w:eastAsia="Times New Roman" w:hAnsi="Arial" w:cs="Arial"/>
                <w:b/>
                <w:bCs/>
                <w:color w:val="000000"/>
                <w:sz w:val="13"/>
                <w:szCs w:val="13"/>
              </w:rPr>
              <w:t>Essential Responsibilities</w:t>
            </w:r>
          </w:p>
        </w:tc>
        <w:tc>
          <w:tcPr>
            <w:tcW w:w="4000" w:type="pct"/>
            <w:shd w:val="clear" w:color="auto" w:fill="FFFFFF"/>
            <w:vAlign w:val="center"/>
            <w:hideMark/>
          </w:tcPr>
          <w:p w:rsidR="00962DBB" w:rsidRPr="00962DBB" w:rsidRDefault="00962DBB" w:rsidP="00962DBB">
            <w:pPr>
              <w:spacing w:after="0" w:line="240" w:lineRule="auto"/>
              <w:ind w:left="720"/>
              <w:rPr>
                <w:rFonts w:ascii="Arial" w:eastAsia="Times New Roman" w:hAnsi="Arial" w:cs="Arial"/>
                <w:color w:val="454545"/>
                <w:sz w:val="17"/>
                <w:szCs w:val="17"/>
              </w:rPr>
            </w:pPr>
          </w:p>
          <w:p w:rsidR="00962DBB" w:rsidRPr="00962DBB" w:rsidRDefault="00962DBB" w:rsidP="00962DBB">
            <w:pPr>
              <w:numPr>
                <w:ilvl w:val="0"/>
                <w:numId w:val="4"/>
              </w:numPr>
              <w:spacing w:before="100" w:beforeAutospacing="1" w:after="100" w:afterAutospacing="1" w:line="240" w:lineRule="auto"/>
              <w:rPr>
                <w:rFonts w:ascii="Arial" w:eastAsia="Times New Roman" w:hAnsi="Arial" w:cs="Arial"/>
                <w:color w:val="454545"/>
                <w:sz w:val="17"/>
                <w:szCs w:val="17"/>
              </w:rPr>
            </w:pPr>
            <w:r w:rsidRPr="00962DBB">
              <w:rPr>
                <w:rFonts w:ascii="Arial" w:eastAsia="Times New Roman" w:hAnsi="Arial" w:cs="Arial"/>
                <w:color w:val="454545"/>
                <w:sz w:val="17"/>
                <w:szCs w:val="17"/>
              </w:rPr>
              <w:t>Manage and perform US GAAP general accounting activities on behalf BHGE </w:t>
            </w:r>
          </w:p>
          <w:p w:rsidR="00962DBB" w:rsidRPr="00962DBB" w:rsidRDefault="00962DBB" w:rsidP="00962DBB">
            <w:pPr>
              <w:numPr>
                <w:ilvl w:val="0"/>
                <w:numId w:val="4"/>
              </w:numPr>
              <w:spacing w:before="100" w:beforeAutospacing="1" w:after="100" w:afterAutospacing="1" w:line="240" w:lineRule="auto"/>
              <w:rPr>
                <w:rFonts w:ascii="Arial" w:eastAsia="Times New Roman" w:hAnsi="Arial" w:cs="Arial"/>
                <w:color w:val="454545"/>
                <w:sz w:val="17"/>
                <w:szCs w:val="17"/>
              </w:rPr>
            </w:pPr>
            <w:r w:rsidRPr="00962DBB">
              <w:rPr>
                <w:rFonts w:ascii="Arial" w:eastAsia="Times New Roman" w:hAnsi="Arial" w:cs="Arial"/>
                <w:color w:val="454545"/>
                <w:sz w:val="17"/>
                <w:szCs w:val="17"/>
              </w:rPr>
              <w:t>Perform activities required for month-end closing (preparing and posting Manual Journal Entry, running reports, performing balance sheet and P&amp;L reconciliation according to the respective business deadlines </w:t>
            </w:r>
          </w:p>
          <w:p w:rsidR="00962DBB" w:rsidRPr="00962DBB" w:rsidRDefault="00962DBB" w:rsidP="00962DBB">
            <w:pPr>
              <w:numPr>
                <w:ilvl w:val="0"/>
                <w:numId w:val="4"/>
              </w:numPr>
              <w:spacing w:before="100" w:beforeAutospacing="1" w:after="100" w:afterAutospacing="1" w:line="240" w:lineRule="auto"/>
              <w:rPr>
                <w:rFonts w:ascii="Arial" w:eastAsia="Times New Roman" w:hAnsi="Arial" w:cs="Arial"/>
                <w:color w:val="454545"/>
                <w:sz w:val="17"/>
                <w:szCs w:val="17"/>
              </w:rPr>
            </w:pPr>
            <w:r w:rsidRPr="00962DBB">
              <w:rPr>
                <w:rFonts w:ascii="Arial" w:eastAsia="Times New Roman" w:hAnsi="Arial" w:cs="Arial"/>
                <w:color w:val="454545"/>
                <w:sz w:val="17"/>
                <w:szCs w:val="17"/>
              </w:rPr>
              <w:t>Perform monthly and quarterly account reconciliation according to GE Policies </w:t>
            </w:r>
          </w:p>
          <w:p w:rsidR="00962DBB" w:rsidRPr="00962DBB" w:rsidRDefault="00962DBB" w:rsidP="00962DBB">
            <w:pPr>
              <w:numPr>
                <w:ilvl w:val="0"/>
                <w:numId w:val="4"/>
              </w:numPr>
              <w:spacing w:before="100" w:beforeAutospacing="1" w:after="100" w:afterAutospacing="1" w:line="240" w:lineRule="auto"/>
              <w:rPr>
                <w:rFonts w:ascii="Arial" w:eastAsia="Times New Roman" w:hAnsi="Arial" w:cs="Arial"/>
                <w:color w:val="454545"/>
                <w:sz w:val="17"/>
                <w:szCs w:val="17"/>
              </w:rPr>
            </w:pPr>
            <w:r w:rsidRPr="00962DBB">
              <w:rPr>
                <w:rFonts w:ascii="Arial" w:eastAsia="Times New Roman" w:hAnsi="Arial" w:cs="Arial"/>
                <w:color w:val="454545"/>
                <w:sz w:val="17"/>
                <w:szCs w:val="17"/>
              </w:rPr>
              <w:t>Understand GE Policies and ensure that all accounting processes are in line with GE regulations and principles </w:t>
            </w:r>
          </w:p>
          <w:p w:rsidR="00962DBB" w:rsidRPr="00962DBB" w:rsidRDefault="00962DBB" w:rsidP="00962DBB">
            <w:pPr>
              <w:numPr>
                <w:ilvl w:val="0"/>
                <w:numId w:val="4"/>
              </w:numPr>
              <w:spacing w:before="100" w:beforeAutospacing="1" w:after="100" w:afterAutospacing="1" w:line="240" w:lineRule="auto"/>
              <w:rPr>
                <w:rFonts w:ascii="Arial" w:eastAsia="Times New Roman" w:hAnsi="Arial" w:cs="Arial"/>
                <w:color w:val="454545"/>
                <w:sz w:val="17"/>
                <w:szCs w:val="17"/>
              </w:rPr>
            </w:pPr>
            <w:r w:rsidRPr="00962DBB">
              <w:rPr>
                <w:rFonts w:ascii="Arial" w:eastAsia="Times New Roman" w:hAnsi="Arial" w:cs="Arial"/>
                <w:color w:val="454545"/>
                <w:sz w:val="17"/>
                <w:szCs w:val="17"/>
              </w:rPr>
              <w:t>Build and maintain strong working relationship with the local operation and controllership team </w:t>
            </w:r>
          </w:p>
          <w:p w:rsidR="00962DBB" w:rsidRPr="00962DBB" w:rsidRDefault="00962DBB" w:rsidP="00962DBB">
            <w:pPr>
              <w:numPr>
                <w:ilvl w:val="0"/>
                <w:numId w:val="4"/>
              </w:numPr>
              <w:spacing w:before="100" w:beforeAutospacing="1" w:after="100" w:afterAutospacing="1" w:line="240" w:lineRule="auto"/>
              <w:rPr>
                <w:rFonts w:ascii="Arial" w:eastAsia="Times New Roman" w:hAnsi="Arial" w:cs="Arial"/>
                <w:color w:val="454545"/>
                <w:sz w:val="17"/>
                <w:szCs w:val="17"/>
              </w:rPr>
            </w:pPr>
            <w:r w:rsidRPr="00962DBB">
              <w:rPr>
                <w:rFonts w:ascii="Arial" w:eastAsia="Times New Roman" w:hAnsi="Arial" w:cs="Arial"/>
                <w:color w:val="454545"/>
                <w:sz w:val="17"/>
                <w:szCs w:val="17"/>
              </w:rPr>
              <w:t>Support the statutory team providing details for preparation of statutory accounts for the respective GE Business </w:t>
            </w:r>
          </w:p>
          <w:p w:rsidR="00962DBB" w:rsidRPr="00962DBB" w:rsidRDefault="00962DBB" w:rsidP="00962DBB">
            <w:pPr>
              <w:numPr>
                <w:ilvl w:val="0"/>
                <w:numId w:val="4"/>
              </w:numPr>
              <w:spacing w:before="100" w:beforeAutospacing="1" w:after="100" w:afterAutospacing="1" w:line="240" w:lineRule="auto"/>
              <w:rPr>
                <w:rFonts w:ascii="Arial" w:eastAsia="Times New Roman" w:hAnsi="Arial" w:cs="Arial"/>
                <w:color w:val="454545"/>
                <w:sz w:val="17"/>
                <w:szCs w:val="17"/>
              </w:rPr>
            </w:pPr>
            <w:r w:rsidRPr="00962DBB">
              <w:rPr>
                <w:rFonts w:ascii="Arial" w:eastAsia="Times New Roman" w:hAnsi="Arial" w:cs="Arial"/>
                <w:color w:val="454545"/>
                <w:sz w:val="17"/>
                <w:szCs w:val="17"/>
              </w:rPr>
              <w:t>Support to be provided to External and Internal auditors </w:t>
            </w:r>
          </w:p>
          <w:p w:rsidR="00962DBB" w:rsidRPr="00962DBB" w:rsidRDefault="00962DBB" w:rsidP="00962DBB">
            <w:pPr>
              <w:numPr>
                <w:ilvl w:val="0"/>
                <w:numId w:val="4"/>
              </w:numPr>
              <w:spacing w:before="100" w:beforeAutospacing="1" w:after="100" w:afterAutospacing="1" w:line="240" w:lineRule="auto"/>
              <w:rPr>
                <w:rFonts w:ascii="Arial" w:eastAsia="Times New Roman" w:hAnsi="Arial" w:cs="Arial"/>
                <w:color w:val="454545"/>
                <w:sz w:val="17"/>
                <w:szCs w:val="17"/>
              </w:rPr>
            </w:pPr>
            <w:r w:rsidRPr="00962DBB">
              <w:rPr>
                <w:rFonts w:ascii="Arial" w:eastAsia="Times New Roman" w:hAnsi="Arial" w:cs="Arial"/>
                <w:color w:val="454545"/>
                <w:sz w:val="17"/>
                <w:szCs w:val="17"/>
              </w:rPr>
              <w:t>Besides the main tasks and responsibilities listed above, responsible for completing any other tasks assigned by her/his supervisor or manage </w:t>
            </w:r>
          </w:p>
          <w:p w:rsidR="00962DBB" w:rsidRPr="00962DBB" w:rsidRDefault="00962DBB" w:rsidP="00962DBB">
            <w:pPr>
              <w:numPr>
                <w:ilvl w:val="0"/>
                <w:numId w:val="4"/>
              </w:numPr>
              <w:spacing w:before="100" w:beforeAutospacing="1" w:after="100" w:afterAutospacing="1" w:line="240" w:lineRule="auto"/>
              <w:rPr>
                <w:rFonts w:ascii="Arial" w:eastAsia="Times New Roman" w:hAnsi="Arial" w:cs="Arial"/>
                <w:color w:val="454545"/>
                <w:sz w:val="17"/>
                <w:szCs w:val="17"/>
              </w:rPr>
            </w:pPr>
            <w:r w:rsidRPr="00962DBB">
              <w:rPr>
                <w:rFonts w:ascii="Arial" w:eastAsia="Times New Roman" w:hAnsi="Arial" w:cs="Arial"/>
                <w:color w:val="454545"/>
                <w:sz w:val="17"/>
                <w:szCs w:val="17"/>
              </w:rPr>
              <w:t>Provide ad hoc reports to HQ, local controllership team and other finance functions</w:t>
            </w:r>
          </w:p>
        </w:tc>
      </w:tr>
      <w:tr w:rsidR="00962DBB" w:rsidRPr="00962DBB" w:rsidTr="00962DBB">
        <w:trPr>
          <w:tblCellSpacing w:w="0" w:type="dxa"/>
          <w:jc w:val="center"/>
        </w:trPr>
        <w:tc>
          <w:tcPr>
            <w:tcW w:w="0" w:type="auto"/>
            <w:shd w:val="clear" w:color="auto" w:fill="FFFFFF"/>
            <w:hideMark/>
          </w:tcPr>
          <w:p w:rsidR="00962DBB" w:rsidRPr="00962DBB" w:rsidRDefault="00962DBB" w:rsidP="00962DBB">
            <w:pPr>
              <w:spacing w:after="0" w:line="240" w:lineRule="auto"/>
              <w:rPr>
                <w:rFonts w:ascii="Arial" w:eastAsia="Times New Roman" w:hAnsi="Arial" w:cs="Arial"/>
                <w:color w:val="454545"/>
                <w:sz w:val="17"/>
                <w:szCs w:val="17"/>
              </w:rPr>
            </w:pPr>
            <w:r w:rsidRPr="00962DBB">
              <w:rPr>
                <w:rFonts w:ascii="Arial" w:eastAsia="Times New Roman" w:hAnsi="Arial" w:cs="Arial"/>
                <w:b/>
                <w:bCs/>
                <w:color w:val="000000"/>
                <w:sz w:val="13"/>
                <w:szCs w:val="13"/>
              </w:rPr>
              <w:t>Qualifications/Requirements</w:t>
            </w:r>
          </w:p>
        </w:tc>
        <w:tc>
          <w:tcPr>
            <w:tcW w:w="4000" w:type="pct"/>
            <w:shd w:val="clear" w:color="auto" w:fill="FFFFFF"/>
            <w:vAlign w:val="center"/>
            <w:hideMark/>
          </w:tcPr>
          <w:p w:rsidR="00962DBB" w:rsidRPr="00962DBB" w:rsidRDefault="00962DBB" w:rsidP="00962DBB">
            <w:pPr>
              <w:spacing w:after="0" w:line="240" w:lineRule="auto"/>
              <w:ind w:left="720"/>
              <w:rPr>
                <w:rFonts w:ascii="Arial" w:eastAsia="Times New Roman" w:hAnsi="Arial" w:cs="Arial"/>
                <w:color w:val="454545"/>
                <w:sz w:val="17"/>
                <w:szCs w:val="17"/>
              </w:rPr>
            </w:pPr>
          </w:p>
          <w:p w:rsidR="00962DBB" w:rsidRPr="00962DBB" w:rsidRDefault="00962DBB" w:rsidP="00962DBB">
            <w:pPr>
              <w:numPr>
                <w:ilvl w:val="0"/>
                <w:numId w:val="5"/>
              </w:numPr>
              <w:spacing w:before="100" w:beforeAutospacing="1" w:after="100" w:afterAutospacing="1" w:line="240" w:lineRule="auto"/>
              <w:rPr>
                <w:rFonts w:ascii="Arial" w:eastAsia="Times New Roman" w:hAnsi="Arial" w:cs="Arial"/>
                <w:color w:val="454545"/>
                <w:sz w:val="17"/>
                <w:szCs w:val="17"/>
              </w:rPr>
            </w:pPr>
            <w:r w:rsidRPr="00962DBB">
              <w:rPr>
                <w:rFonts w:ascii="Arial" w:eastAsia="Times New Roman" w:hAnsi="Arial" w:cs="Arial"/>
                <w:color w:val="454545"/>
                <w:sz w:val="17"/>
                <w:szCs w:val="17"/>
              </w:rPr>
              <w:t>Written and verbal fluency in English </w:t>
            </w:r>
          </w:p>
          <w:p w:rsidR="00962DBB" w:rsidRPr="00962DBB" w:rsidRDefault="00962DBB" w:rsidP="00962DBB">
            <w:pPr>
              <w:numPr>
                <w:ilvl w:val="0"/>
                <w:numId w:val="5"/>
              </w:numPr>
              <w:spacing w:before="100" w:beforeAutospacing="1" w:after="100" w:afterAutospacing="1" w:line="240" w:lineRule="auto"/>
              <w:rPr>
                <w:rFonts w:ascii="Arial" w:eastAsia="Times New Roman" w:hAnsi="Arial" w:cs="Arial"/>
                <w:color w:val="454545"/>
                <w:sz w:val="17"/>
                <w:szCs w:val="17"/>
              </w:rPr>
            </w:pPr>
            <w:r w:rsidRPr="00962DBB">
              <w:rPr>
                <w:rFonts w:ascii="Arial" w:eastAsia="Times New Roman" w:hAnsi="Arial" w:cs="Arial"/>
                <w:color w:val="454545"/>
                <w:sz w:val="17"/>
                <w:szCs w:val="17"/>
              </w:rPr>
              <w:t>Accounting experience in a multi-gap environment </w:t>
            </w:r>
          </w:p>
          <w:p w:rsidR="00962DBB" w:rsidRPr="00962DBB" w:rsidRDefault="00962DBB" w:rsidP="00962DBB">
            <w:pPr>
              <w:numPr>
                <w:ilvl w:val="0"/>
                <w:numId w:val="5"/>
              </w:numPr>
              <w:spacing w:before="100" w:beforeAutospacing="1" w:after="100" w:afterAutospacing="1" w:line="240" w:lineRule="auto"/>
              <w:rPr>
                <w:rFonts w:ascii="Arial" w:eastAsia="Times New Roman" w:hAnsi="Arial" w:cs="Arial"/>
                <w:color w:val="454545"/>
                <w:sz w:val="17"/>
                <w:szCs w:val="17"/>
              </w:rPr>
            </w:pPr>
            <w:r w:rsidRPr="00962DBB">
              <w:rPr>
                <w:rFonts w:ascii="Arial" w:eastAsia="Times New Roman" w:hAnsi="Arial" w:cs="Arial"/>
                <w:color w:val="454545"/>
                <w:sz w:val="17"/>
                <w:szCs w:val="17"/>
              </w:rPr>
              <w:t>First experience of closing the books, ideally in an international environment or in the R2R function of an SSC </w:t>
            </w:r>
          </w:p>
          <w:p w:rsidR="00962DBB" w:rsidRPr="00962DBB" w:rsidRDefault="00962DBB" w:rsidP="00962DBB">
            <w:pPr>
              <w:numPr>
                <w:ilvl w:val="0"/>
                <w:numId w:val="5"/>
              </w:numPr>
              <w:spacing w:before="100" w:beforeAutospacing="1" w:after="100" w:afterAutospacing="1" w:line="240" w:lineRule="auto"/>
              <w:rPr>
                <w:rFonts w:ascii="Arial" w:eastAsia="Times New Roman" w:hAnsi="Arial" w:cs="Arial"/>
                <w:color w:val="454545"/>
                <w:sz w:val="17"/>
                <w:szCs w:val="17"/>
              </w:rPr>
            </w:pPr>
            <w:r w:rsidRPr="00962DBB">
              <w:rPr>
                <w:rFonts w:ascii="Arial" w:eastAsia="Times New Roman" w:hAnsi="Arial" w:cs="Arial"/>
                <w:color w:val="454545"/>
                <w:sz w:val="17"/>
                <w:szCs w:val="17"/>
              </w:rPr>
              <w:t>Ability to learn/ understand Standard &amp; </w:t>
            </w:r>
          </w:p>
          <w:p w:rsidR="00962DBB" w:rsidRPr="00962DBB" w:rsidRDefault="00962DBB" w:rsidP="00962DBB">
            <w:pPr>
              <w:numPr>
                <w:ilvl w:val="0"/>
                <w:numId w:val="5"/>
              </w:numPr>
              <w:spacing w:before="100" w:beforeAutospacing="1" w:after="100" w:afterAutospacing="1" w:line="240" w:lineRule="auto"/>
              <w:rPr>
                <w:rFonts w:ascii="Arial" w:eastAsia="Times New Roman" w:hAnsi="Arial" w:cs="Arial"/>
                <w:color w:val="454545"/>
                <w:sz w:val="17"/>
                <w:szCs w:val="17"/>
              </w:rPr>
            </w:pPr>
            <w:r w:rsidRPr="00962DBB">
              <w:rPr>
                <w:rFonts w:ascii="Arial" w:eastAsia="Times New Roman" w:hAnsi="Arial" w:cs="Arial"/>
                <w:color w:val="454545"/>
                <w:sz w:val="17"/>
                <w:szCs w:val="17"/>
              </w:rPr>
              <w:lastRenderedPageBreak/>
              <w:t>Flexible approach with a strong team spirit </w:t>
            </w:r>
          </w:p>
          <w:p w:rsidR="00962DBB" w:rsidRPr="00962DBB" w:rsidRDefault="00962DBB" w:rsidP="00962DBB">
            <w:pPr>
              <w:numPr>
                <w:ilvl w:val="0"/>
                <w:numId w:val="5"/>
              </w:numPr>
              <w:spacing w:before="100" w:beforeAutospacing="1" w:after="100" w:afterAutospacing="1" w:line="240" w:lineRule="auto"/>
              <w:rPr>
                <w:rFonts w:ascii="Arial" w:eastAsia="Times New Roman" w:hAnsi="Arial" w:cs="Arial"/>
                <w:color w:val="454545"/>
                <w:sz w:val="17"/>
                <w:szCs w:val="17"/>
              </w:rPr>
            </w:pPr>
            <w:r w:rsidRPr="00962DBB">
              <w:rPr>
                <w:rFonts w:ascii="Arial" w:eastAsia="Times New Roman" w:hAnsi="Arial" w:cs="Arial"/>
                <w:color w:val="454545"/>
                <w:sz w:val="17"/>
                <w:szCs w:val="17"/>
              </w:rPr>
              <w:t>Effective interpersonal &amp; communication skills and highly professional style when dealing with GE Country affiliates auditors </w:t>
            </w:r>
          </w:p>
          <w:p w:rsidR="00962DBB" w:rsidRPr="00962DBB" w:rsidRDefault="00962DBB" w:rsidP="00962DBB">
            <w:pPr>
              <w:numPr>
                <w:ilvl w:val="0"/>
                <w:numId w:val="5"/>
              </w:numPr>
              <w:spacing w:before="100" w:beforeAutospacing="1" w:after="100" w:afterAutospacing="1" w:line="240" w:lineRule="auto"/>
              <w:rPr>
                <w:rFonts w:ascii="Arial" w:eastAsia="Times New Roman" w:hAnsi="Arial" w:cs="Arial"/>
                <w:color w:val="454545"/>
                <w:sz w:val="17"/>
                <w:szCs w:val="17"/>
              </w:rPr>
            </w:pPr>
            <w:r w:rsidRPr="00962DBB">
              <w:rPr>
                <w:rFonts w:ascii="Arial" w:eastAsia="Times New Roman" w:hAnsi="Arial" w:cs="Arial"/>
                <w:color w:val="454545"/>
                <w:sz w:val="17"/>
                <w:szCs w:val="17"/>
              </w:rPr>
              <w:t>Comfortable delivering against quantitative and qualitative performance metrics </w:t>
            </w:r>
          </w:p>
          <w:p w:rsidR="00962DBB" w:rsidRPr="00962DBB" w:rsidRDefault="00962DBB" w:rsidP="00962DBB">
            <w:pPr>
              <w:numPr>
                <w:ilvl w:val="0"/>
                <w:numId w:val="5"/>
              </w:numPr>
              <w:spacing w:before="100" w:beforeAutospacing="1" w:after="100" w:afterAutospacing="1" w:line="240" w:lineRule="auto"/>
              <w:rPr>
                <w:rFonts w:ascii="Arial" w:eastAsia="Times New Roman" w:hAnsi="Arial" w:cs="Arial"/>
                <w:color w:val="454545"/>
                <w:sz w:val="17"/>
                <w:szCs w:val="17"/>
              </w:rPr>
            </w:pPr>
            <w:r w:rsidRPr="00962DBB">
              <w:rPr>
                <w:rFonts w:ascii="Arial" w:eastAsia="Times New Roman" w:hAnsi="Arial" w:cs="Arial"/>
                <w:color w:val="454545"/>
                <w:sz w:val="17"/>
                <w:szCs w:val="17"/>
              </w:rPr>
              <w:t>Compliance &amp; controllership mindset </w:t>
            </w:r>
          </w:p>
          <w:p w:rsidR="00962DBB" w:rsidRPr="00962DBB" w:rsidRDefault="00962DBB" w:rsidP="00962DBB">
            <w:pPr>
              <w:numPr>
                <w:ilvl w:val="0"/>
                <w:numId w:val="5"/>
              </w:numPr>
              <w:spacing w:before="100" w:beforeAutospacing="1" w:after="100" w:afterAutospacing="1" w:line="240" w:lineRule="auto"/>
              <w:rPr>
                <w:rFonts w:ascii="Arial" w:eastAsia="Times New Roman" w:hAnsi="Arial" w:cs="Arial"/>
                <w:color w:val="454545"/>
                <w:sz w:val="17"/>
                <w:szCs w:val="17"/>
              </w:rPr>
            </w:pPr>
            <w:r w:rsidRPr="00962DBB">
              <w:rPr>
                <w:rFonts w:ascii="Arial" w:eastAsia="Times New Roman" w:hAnsi="Arial" w:cs="Arial"/>
                <w:color w:val="454545"/>
                <w:sz w:val="17"/>
                <w:szCs w:val="17"/>
              </w:rPr>
              <w:t>Numerate with a good eye for detail </w:t>
            </w:r>
          </w:p>
          <w:p w:rsidR="00962DBB" w:rsidRPr="00962DBB" w:rsidRDefault="00962DBB" w:rsidP="00962DBB">
            <w:pPr>
              <w:numPr>
                <w:ilvl w:val="0"/>
                <w:numId w:val="5"/>
              </w:numPr>
              <w:spacing w:before="100" w:beforeAutospacing="1" w:after="100" w:afterAutospacing="1" w:line="240" w:lineRule="auto"/>
              <w:rPr>
                <w:rFonts w:ascii="Arial" w:eastAsia="Times New Roman" w:hAnsi="Arial" w:cs="Arial"/>
                <w:color w:val="454545"/>
                <w:sz w:val="17"/>
                <w:szCs w:val="17"/>
              </w:rPr>
            </w:pPr>
            <w:r w:rsidRPr="00962DBB">
              <w:rPr>
                <w:rFonts w:ascii="Arial" w:eastAsia="Times New Roman" w:hAnsi="Arial" w:cs="Arial"/>
                <w:color w:val="454545"/>
                <w:sz w:val="17"/>
                <w:szCs w:val="17"/>
              </w:rPr>
              <w:t>Proficient IT skills including Excel and Outlook </w:t>
            </w:r>
          </w:p>
          <w:p w:rsidR="00962DBB" w:rsidRPr="00962DBB" w:rsidRDefault="00962DBB" w:rsidP="00962DBB">
            <w:pPr>
              <w:numPr>
                <w:ilvl w:val="0"/>
                <w:numId w:val="5"/>
              </w:numPr>
              <w:spacing w:before="100" w:beforeAutospacing="1" w:after="100" w:afterAutospacing="1" w:line="240" w:lineRule="auto"/>
              <w:rPr>
                <w:rFonts w:ascii="Arial" w:eastAsia="Times New Roman" w:hAnsi="Arial" w:cs="Arial"/>
                <w:color w:val="454545"/>
                <w:sz w:val="17"/>
                <w:szCs w:val="17"/>
              </w:rPr>
            </w:pPr>
            <w:r w:rsidRPr="00962DBB">
              <w:rPr>
                <w:rFonts w:ascii="Arial" w:eastAsia="Times New Roman" w:hAnsi="Arial" w:cs="Arial"/>
                <w:color w:val="454545"/>
                <w:sz w:val="17"/>
                <w:szCs w:val="17"/>
              </w:rPr>
              <w:t>Successful applicant will be legally eligible to enter into an employment relationship under the laws of Hungary</w:t>
            </w:r>
          </w:p>
        </w:tc>
      </w:tr>
      <w:tr w:rsidR="00962DBB" w:rsidRPr="00962DBB" w:rsidTr="00962DBB">
        <w:trPr>
          <w:tblCellSpacing w:w="0" w:type="dxa"/>
          <w:jc w:val="center"/>
        </w:trPr>
        <w:tc>
          <w:tcPr>
            <w:tcW w:w="0" w:type="auto"/>
            <w:shd w:val="clear" w:color="auto" w:fill="FFFFFF"/>
            <w:hideMark/>
          </w:tcPr>
          <w:p w:rsidR="00962DBB" w:rsidRPr="00962DBB" w:rsidRDefault="00962DBB" w:rsidP="00962DBB">
            <w:pPr>
              <w:spacing w:after="0" w:line="240" w:lineRule="auto"/>
              <w:rPr>
                <w:rFonts w:ascii="Arial" w:eastAsia="Times New Roman" w:hAnsi="Arial" w:cs="Arial"/>
                <w:color w:val="454545"/>
                <w:sz w:val="17"/>
                <w:szCs w:val="17"/>
              </w:rPr>
            </w:pPr>
            <w:r w:rsidRPr="00962DBB">
              <w:rPr>
                <w:rFonts w:ascii="Arial" w:eastAsia="Times New Roman" w:hAnsi="Arial" w:cs="Arial"/>
                <w:b/>
                <w:bCs/>
                <w:color w:val="000000"/>
                <w:sz w:val="13"/>
                <w:szCs w:val="13"/>
              </w:rPr>
              <w:lastRenderedPageBreak/>
              <w:t>Desired Characteristics</w:t>
            </w:r>
          </w:p>
        </w:tc>
        <w:tc>
          <w:tcPr>
            <w:tcW w:w="4000" w:type="pct"/>
            <w:shd w:val="clear" w:color="auto" w:fill="FFFFFF"/>
            <w:vAlign w:val="center"/>
            <w:hideMark/>
          </w:tcPr>
          <w:p w:rsidR="00962DBB" w:rsidRPr="00962DBB" w:rsidRDefault="00962DBB" w:rsidP="00962DBB">
            <w:pPr>
              <w:spacing w:after="0" w:line="240" w:lineRule="auto"/>
              <w:ind w:left="720"/>
              <w:rPr>
                <w:rFonts w:ascii="Arial" w:eastAsia="Times New Roman" w:hAnsi="Arial" w:cs="Arial"/>
                <w:color w:val="454545"/>
                <w:sz w:val="17"/>
                <w:szCs w:val="17"/>
              </w:rPr>
            </w:pPr>
          </w:p>
          <w:p w:rsidR="00962DBB" w:rsidRPr="00962DBB" w:rsidRDefault="00962DBB" w:rsidP="00962DBB">
            <w:pPr>
              <w:numPr>
                <w:ilvl w:val="0"/>
                <w:numId w:val="6"/>
              </w:numPr>
              <w:spacing w:before="100" w:beforeAutospacing="1" w:after="100" w:afterAutospacing="1" w:line="240" w:lineRule="auto"/>
              <w:rPr>
                <w:rFonts w:ascii="Arial" w:eastAsia="Times New Roman" w:hAnsi="Arial" w:cs="Arial"/>
                <w:color w:val="454545"/>
                <w:sz w:val="17"/>
                <w:szCs w:val="17"/>
              </w:rPr>
            </w:pPr>
            <w:r w:rsidRPr="00962DBB">
              <w:rPr>
                <w:rFonts w:ascii="Arial" w:eastAsia="Times New Roman" w:hAnsi="Arial" w:cs="Arial"/>
                <w:color w:val="454545"/>
                <w:sz w:val="17"/>
                <w:szCs w:val="17"/>
              </w:rPr>
              <w:t>First-hand experience in a big audit firm </w:t>
            </w:r>
          </w:p>
          <w:p w:rsidR="00962DBB" w:rsidRPr="00962DBB" w:rsidRDefault="00962DBB" w:rsidP="00962DBB">
            <w:pPr>
              <w:numPr>
                <w:ilvl w:val="0"/>
                <w:numId w:val="6"/>
              </w:numPr>
              <w:spacing w:before="100" w:beforeAutospacing="1" w:after="100" w:afterAutospacing="1" w:line="240" w:lineRule="auto"/>
              <w:rPr>
                <w:rFonts w:ascii="Arial" w:eastAsia="Times New Roman" w:hAnsi="Arial" w:cs="Arial"/>
                <w:color w:val="454545"/>
                <w:sz w:val="17"/>
                <w:szCs w:val="17"/>
              </w:rPr>
            </w:pPr>
            <w:r w:rsidRPr="00962DBB">
              <w:rPr>
                <w:rFonts w:ascii="Arial" w:eastAsia="Times New Roman" w:hAnsi="Arial" w:cs="Arial"/>
                <w:color w:val="454545"/>
                <w:sz w:val="17"/>
                <w:szCs w:val="17"/>
              </w:rPr>
              <w:t>First-hand closing experience with Oracle, SAP or another ERP </w:t>
            </w:r>
          </w:p>
          <w:p w:rsidR="00962DBB" w:rsidRPr="00962DBB" w:rsidRDefault="00962DBB" w:rsidP="00962DBB">
            <w:pPr>
              <w:numPr>
                <w:ilvl w:val="0"/>
                <w:numId w:val="6"/>
              </w:numPr>
              <w:spacing w:before="100" w:beforeAutospacing="1" w:after="100" w:afterAutospacing="1" w:line="240" w:lineRule="auto"/>
              <w:rPr>
                <w:rFonts w:ascii="Arial" w:eastAsia="Times New Roman" w:hAnsi="Arial" w:cs="Arial"/>
                <w:color w:val="454545"/>
                <w:sz w:val="17"/>
                <w:szCs w:val="17"/>
              </w:rPr>
            </w:pPr>
            <w:r w:rsidRPr="00962DBB">
              <w:rPr>
                <w:rFonts w:ascii="Arial" w:eastAsia="Times New Roman" w:hAnsi="Arial" w:cs="Arial"/>
                <w:color w:val="454545"/>
                <w:sz w:val="17"/>
                <w:szCs w:val="17"/>
              </w:rPr>
              <w:t>Fluency in other European languages is a benefit </w:t>
            </w:r>
          </w:p>
          <w:p w:rsidR="00962DBB" w:rsidRPr="00962DBB" w:rsidRDefault="00962DBB" w:rsidP="00962DBB">
            <w:pPr>
              <w:numPr>
                <w:ilvl w:val="0"/>
                <w:numId w:val="6"/>
              </w:numPr>
              <w:spacing w:before="100" w:beforeAutospacing="1" w:after="100" w:afterAutospacing="1" w:line="240" w:lineRule="auto"/>
              <w:rPr>
                <w:rFonts w:ascii="Arial" w:eastAsia="Times New Roman" w:hAnsi="Arial" w:cs="Arial"/>
                <w:color w:val="454545"/>
                <w:sz w:val="17"/>
                <w:szCs w:val="17"/>
              </w:rPr>
            </w:pPr>
            <w:r w:rsidRPr="00962DBB">
              <w:rPr>
                <w:rFonts w:ascii="Arial" w:eastAsia="Times New Roman" w:hAnsi="Arial" w:cs="Arial"/>
                <w:color w:val="454545"/>
                <w:sz w:val="17"/>
                <w:szCs w:val="17"/>
              </w:rPr>
              <w:t>SSCHU </w:t>
            </w:r>
          </w:p>
        </w:tc>
      </w:tr>
    </w:tbl>
    <w:p w:rsidR="00AC4216" w:rsidRPr="00962DBB" w:rsidRDefault="00AC4216" w:rsidP="00962DBB"/>
    <w:sectPr w:rsidR="00AC4216" w:rsidRPr="00962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805D9"/>
    <w:multiLevelType w:val="multilevel"/>
    <w:tmpl w:val="0326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914F33"/>
    <w:multiLevelType w:val="multilevel"/>
    <w:tmpl w:val="15E2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9079AA"/>
    <w:multiLevelType w:val="multilevel"/>
    <w:tmpl w:val="9628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524FE1"/>
    <w:multiLevelType w:val="multilevel"/>
    <w:tmpl w:val="4558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E42E99"/>
    <w:multiLevelType w:val="multilevel"/>
    <w:tmpl w:val="BF6C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7A7793"/>
    <w:multiLevelType w:val="multilevel"/>
    <w:tmpl w:val="21C0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EDD"/>
    <w:rsid w:val="004624FE"/>
    <w:rsid w:val="005E755D"/>
    <w:rsid w:val="008F0EDD"/>
    <w:rsid w:val="00962DBB"/>
    <w:rsid w:val="00AC4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06A69-C930-445A-8C38-C1C21EF9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ieldlabel">
    <w:name w:val="fieldlabel"/>
    <w:basedOn w:val="Carpredefinitoparagrafo"/>
    <w:rsid w:val="008F0EDD"/>
  </w:style>
  <w:style w:type="character" w:customStyle="1" w:styleId="text">
    <w:name w:val="text"/>
    <w:basedOn w:val="Carpredefinitoparagrafo"/>
    <w:rsid w:val="008F0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22888">
      <w:bodyDiv w:val="1"/>
      <w:marLeft w:val="0"/>
      <w:marRight w:val="0"/>
      <w:marTop w:val="0"/>
      <w:marBottom w:val="0"/>
      <w:divBdr>
        <w:top w:val="none" w:sz="0" w:space="0" w:color="auto"/>
        <w:left w:val="none" w:sz="0" w:space="0" w:color="auto"/>
        <w:bottom w:val="none" w:sz="0" w:space="0" w:color="auto"/>
        <w:right w:val="none" w:sz="0" w:space="0" w:color="auto"/>
      </w:divBdr>
    </w:div>
    <w:div w:id="174025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2991</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Caporossi, Gianluca(GE Global Operations)</dc:creator>
  <cp:keywords/>
  <dc:description/>
  <cp:lastModifiedBy>Simona Mattioli</cp:lastModifiedBy>
  <cp:revision>2</cp:revision>
  <dcterms:created xsi:type="dcterms:W3CDTF">2018-12-03T11:22:00Z</dcterms:created>
  <dcterms:modified xsi:type="dcterms:W3CDTF">2018-12-03T11:22:00Z</dcterms:modified>
</cp:coreProperties>
</file>